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A8A2" w14:textId="12E16E8F" w:rsidR="00D176B7" w:rsidRPr="006A2A17" w:rsidRDefault="006A2A17" w:rsidP="006A2A17">
      <w:pPr>
        <w:jc w:val="center"/>
        <w:rPr>
          <w:rFonts w:ascii="Times New Roman" w:hAnsi="Times New Roman" w:cs="Times New Roman"/>
          <w:b/>
          <w:bCs/>
          <w:sz w:val="48"/>
          <w:szCs w:val="48"/>
        </w:rPr>
      </w:pPr>
      <w:r w:rsidRPr="006A2A17">
        <w:rPr>
          <w:rFonts w:ascii="Times New Roman" w:hAnsi="Times New Roman" w:cs="Times New Roman"/>
          <w:b/>
          <w:bCs/>
          <w:sz w:val="48"/>
          <w:szCs w:val="48"/>
        </w:rPr>
        <w:t>Rio Arriba County</w:t>
      </w:r>
    </w:p>
    <w:p w14:paraId="4BA38590" w14:textId="425508D0" w:rsidR="006A2A17" w:rsidRDefault="006A2A17" w:rsidP="006A2A17">
      <w:pPr>
        <w:jc w:val="center"/>
        <w:rPr>
          <w:rFonts w:ascii="Times New Roman" w:hAnsi="Times New Roman" w:cs="Times New Roman"/>
          <w:b/>
          <w:bCs/>
          <w:sz w:val="48"/>
          <w:szCs w:val="48"/>
        </w:rPr>
      </w:pPr>
      <w:r w:rsidRPr="006A2A17">
        <w:rPr>
          <w:rFonts w:ascii="Times New Roman" w:hAnsi="Times New Roman" w:cs="Times New Roman"/>
          <w:b/>
          <w:bCs/>
          <w:sz w:val="48"/>
          <w:szCs w:val="48"/>
        </w:rPr>
        <w:t>Community Wildfire Protection Plan</w:t>
      </w:r>
    </w:p>
    <w:p w14:paraId="533FEF33" w14:textId="7D9F447B" w:rsidR="00443809" w:rsidRPr="006A2A17" w:rsidRDefault="00443809" w:rsidP="006A2A17">
      <w:pPr>
        <w:jc w:val="center"/>
        <w:rPr>
          <w:rFonts w:ascii="Times New Roman" w:hAnsi="Times New Roman" w:cs="Times New Roman"/>
          <w:b/>
          <w:bCs/>
          <w:sz w:val="48"/>
          <w:szCs w:val="48"/>
        </w:rPr>
      </w:pPr>
      <w:r>
        <w:rPr>
          <w:rFonts w:ascii="Times New Roman" w:hAnsi="Times New Roman" w:cs="Times New Roman"/>
          <w:b/>
          <w:bCs/>
          <w:sz w:val="48"/>
          <w:szCs w:val="48"/>
        </w:rPr>
        <w:t>Project List</w:t>
      </w:r>
      <w:r w:rsidR="00CD14E2">
        <w:rPr>
          <w:rFonts w:ascii="Times New Roman" w:hAnsi="Times New Roman" w:cs="Times New Roman"/>
          <w:b/>
          <w:bCs/>
          <w:sz w:val="48"/>
          <w:szCs w:val="48"/>
        </w:rPr>
        <w:t xml:space="preserve"> Addendum</w:t>
      </w:r>
    </w:p>
    <w:p w14:paraId="717EB93E" w14:textId="480B1211" w:rsidR="006A2A17" w:rsidRPr="006A2A17" w:rsidRDefault="006A2A17" w:rsidP="006A2A17">
      <w:pPr>
        <w:jc w:val="center"/>
        <w:rPr>
          <w:rFonts w:ascii="Times New Roman" w:hAnsi="Times New Roman" w:cs="Times New Roman"/>
          <w:sz w:val="32"/>
          <w:szCs w:val="32"/>
        </w:rPr>
      </w:pPr>
      <w:r w:rsidRPr="006A2A17">
        <w:rPr>
          <w:rFonts w:ascii="Times New Roman" w:hAnsi="Times New Roman" w:cs="Times New Roman"/>
          <w:sz w:val="32"/>
          <w:szCs w:val="32"/>
        </w:rPr>
        <w:t>Proposed Update # 1 to 2017 Update</w:t>
      </w:r>
    </w:p>
    <w:p w14:paraId="6BC0F7BB" w14:textId="42CCCA97" w:rsidR="006A2A17" w:rsidRPr="006A2A17" w:rsidRDefault="006A2A17" w:rsidP="006A2A17">
      <w:pPr>
        <w:jc w:val="center"/>
        <w:rPr>
          <w:rFonts w:ascii="Times New Roman" w:hAnsi="Times New Roman" w:cs="Times New Roman"/>
          <w:sz w:val="32"/>
          <w:szCs w:val="32"/>
        </w:rPr>
      </w:pPr>
      <w:r w:rsidRPr="006A2A17">
        <w:rPr>
          <w:rFonts w:ascii="Times New Roman" w:hAnsi="Times New Roman" w:cs="Times New Roman"/>
          <w:sz w:val="32"/>
          <w:szCs w:val="32"/>
        </w:rPr>
        <w:t>Purpose: to clearly define action projects in the CWPP</w:t>
      </w:r>
    </w:p>
    <w:p w14:paraId="0CA2C56B" w14:textId="7653835C" w:rsidR="006A2A17" w:rsidRDefault="006A2A17" w:rsidP="006A2A17">
      <w:pPr>
        <w:jc w:val="center"/>
        <w:rPr>
          <w:rFonts w:ascii="Times New Roman" w:hAnsi="Times New Roman" w:cs="Times New Roman"/>
          <w:sz w:val="32"/>
          <w:szCs w:val="32"/>
        </w:rPr>
      </w:pPr>
      <w:r w:rsidRPr="006A2A17">
        <w:rPr>
          <w:rFonts w:ascii="Times New Roman" w:hAnsi="Times New Roman" w:cs="Times New Roman"/>
          <w:sz w:val="32"/>
          <w:szCs w:val="32"/>
        </w:rPr>
        <w:t>August 19, 2022</w:t>
      </w:r>
    </w:p>
    <w:p w14:paraId="7CE35981" w14:textId="38ED9815" w:rsidR="00443809" w:rsidRDefault="00443809" w:rsidP="006A2A17">
      <w:pPr>
        <w:jc w:val="center"/>
        <w:rPr>
          <w:rFonts w:ascii="Times New Roman" w:hAnsi="Times New Roman" w:cs="Times New Roman"/>
          <w:sz w:val="32"/>
          <w:szCs w:val="32"/>
        </w:rPr>
      </w:pPr>
    </w:p>
    <w:p w14:paraId="0DF03EF7" w14:textId="1258CBB8" w:rsidR="00443809" w:rsidRDefault="00443809" w:rsidP="00443809">
      <w:pPr>
        <w:rPr>
          <w:rFonts w:ascii="Times New Roman" w:hAnsi="Times New Roman" w:cs="Times New Roman"/>
          <w:sz w:val="32"/>
          <w:szCs w:val="32"/>
        </w:rPr>
      </w:pPr>
      <w:r>
        <w:rPr>
          <w:rFonts w:ascii="Times New Roman" w:hAnsi="Times New Roman" w:cs="Times New Roman"/>
          <w:sz w:val="32"/>
          <w:szCs w:val="32"/>
        </w:rPr>
        <w:t>The 2017 CWPP clearly identifies locations of concern and general types of actions to address issues. Since some funding is now requiring specific projects to listed in the CWPP to be eligible for funding, this update is a Project List to be amended to the current (2017) CWPP.</w:t>
      </w:r>
    </w:p>
    <w:p w14:paraId="738BFBBA" w14:textId="60D6C047" w:rsidR="00C5553F" w:rsidRDefault="00C5553F" w:rsidP="00443809">
      <w:pPr>
        <w:rPr>
          <w:rFonts w:ascii="Times New Roman" w:hAnsi="Times New Roman" w:cs="Times New Roman"/>
          <w:sz w:val="32"/>
          <w:szCs w:val="32"/>
        </w:rPr>
      </w:pPr>
      <w:r>
        <w:rPr>
          <w:rFonts w:ascii="Times New Roman" w:hAnsi="Times New Roman" w:cs="Times New Roman"/>
          <w:sz w:val="32"/>
          <w:szCs w:val="32"/>
        </w:rPr>
        <w:t xml:space="preserve">On page 13-14, priority areas are identified to include Brazos Canyon, Bosque corridor from Abiquiu to Espanola along the Rio Chama, Bosque Corridor from south of Espanola to north of Velarde along the Rio Grande, Mesa </w:t>
      </w:r>
      <w:proofErr w:type="spellStart"/>
      <w:r>
        <w:rPr>
          <w:rFonts w:ascii="Times New Roman" w:hAnsi="Times New Roman" w:cs="Times New Roman"/>
          <w:sz w:val="32"/>
          <w:szCs w:val="32"/>
        </w:rPr>
        <w:t>Poleo</w:t>
      </w:r>
      <w:proofErr w:type="spellEnd"/>
      <w:r>
        <w:rPr>
          <w:rFonts w:ascii="Times New Roman" w:hAnsi="Times New Roman" w:cs="Times New Roman"/>
          <w:sz w:val="32"/>
          <w:szCs w:val="32"/>
        </w:rPr>
        <w:t xml:space="preserve"> Corridor (including Gallinas), Cebolla and </w:t>
      </w:r>
      <w:proofErr w:type="spellStart"/>
      <w:r>
        <w:rPr>
          <w:rFonts w:ascii="Times New Roman" w:hAnsi="Times New Roman" w:cs="Times New Roman"/>
          <w:sz w:val="32"/>
          <w:szCs w:val="32"/>
        </w:rPr>
        <w:t>Canjilon</w:t>
      </w:r>
      <w:proofErr w:type="spellEnd"/>
      <w:r>
        <w:rPr>
          <w:rFonts w:ascii="Times New Roman" w:hAnsi="Times New Roman" w:cs="Times New Roman"/>
          <w:sz w:val="32"/>
          <w:szCs w:val="32"/>
        </w:rPr>
        <w:t xml:space="preserve"> Corridor</w:t>
      </w:r>
      <w:r w:rsidR="009B2079">
        <w:rPr>
          <w:rFonts w:ascii="Times New Roman" w:hAnsi="Times New Roman" w:cs="Times New Roman"/>
          <w:sz w:val="32"/>
          <w:szCs w:val="32"/>
        </w:rPr>
        <w:t xml:space="preserve">, and the La Madera to Vallecitos, Canon Plaza (and </w:t>
      </w:r>
      <w:proofErr w:type="spellStart"/>
      <w:r w:rsidR="009B2079">
        <w:rPr>
          <w:rFonts w:ascii="Times New Roman" w:hAnsi="Times New Roman" w:cs="Times New Roman"/>
          <w:sz w:val="32"/>
          <w:szCs w:val="32"/>
        </w:rPr>
        <w:t>Petaca</w:t>
      </w:r>
      <w:proofErr w:type="spellEnd"/>
      <w:r w:rsidR="009B2079">
        <w:rPr>
          <w:rFonts w:ascii="Times New Roman" w:hAnsi="Times New Roman" w:cs="Times New Roman"/>
          <w:sz w:val="32"/>
          <w:szCs w:val="32"/>
        </w:rPr>
        <w:t>) Corridor. Activities identified for these areas include hazardous fuels treatments</w:t>
      </w:r>
      <w:r w:rsidR="00613B85">
        <w:rPr>
          <w:rFonts w:ascii="Times New Roman" w:hAnsi="Times New Roman" w:cs="Times New Roman"/>
          <w:sz w:val="32"/>
          <w:szCs w:val="32"/>
        </w:rPr>
        <w:t>, home hardening, debris cleanup,</w:t>
      </w:r>
      <w:r w:rsidR="009B2079">
        <w:rPr>
          <w:rFonts w:ascii="Times New Roman" w:hAnsi="Times New Roman" w:cs="Times New Roman"/>
          <w:sz w:val="32"/>
          <w:szCs w:val="32"/>
        </w:rPr>
        <w:t xml:space="preserve"> and resident outreach.</w:t>
      </w:r>
    </w:p>
    <w:p w14:paraId="190F64B4" w14:textId="2B6EA0C6" w:rsidR="009B2079" w:rsidRDefault="009B2079" w:rsidP="00443809">
      <w:pPr>
        <w:rPr>
          <w:rFonts w:ascii="Times New Roman" w:hAnsi="Times New Roman" w:cs="Times New Roman"/>
          <w:sz w:val="32"/>
          <w:szCs w:val="32"/>
        </w:rPr>
      </w:pPr>
      <w:r>
        <w:rPr>
          <w:rFonts w:ascii="Times New Roman" w:hAnsi="Times New Roman" w:cs="Times New Roman"/>
          <w:sz w:val="32"/>
          <w:szCs w:val="32"/>
        </w:rPr>
        <w:t xml:space="preserve">This addendum adds the Tierra Amarilla to Chama corridor to this priority list for </w:t>
      </w:r>
      <w:r w:rsidR="00103673">
        <w:rPr>
          <w:rFonts w:ascii="Times New Roman" w:hAnsi="Times New Roman" w:cs="Times New Roman"/>
          <w:sz w:val="32"/>
          <w:szCs w:val="32"/>
        </w:rPr>
        <w:t>the same activity list</w:t>
      </w:r>
      <w:r>
        <w:rPr>
          <w:rFonts w:ascii="Times New Roman" w:hAnsi="Times New Roman" w:cs="Times New Roman"/>
          <w:sz w:val="32"/>
          <w:szCs w:val="32"/>
        </w:rPr>
        <w:t>.</w:t>
      </w:r>
    </w:p>
    <w:p w14:paraId="4E1A840D" w14:textId="294FAB3F" w:rsidR="00103673" w:rsidRDefault="00103673" w:rsidP="00443809">
      <w:pPr>
        <w:rPr>
          <w:rFonts w:ascii="Times New Roman" w:hAnsi="Times New Roman" w:cs="Times New Roman"/>
          <w:sz w:val="32"/>
          <w:szCs w:val="32"/>
        </w:rPr>
      </w:pPr>
      <w:r>
        <w:rPr>
          <w:rFonts w:ascii="Times New Roman" w:hAnsi="Times New Roman" w:cs="Times New Roman"/>
          <w:sz w:val="32"/>
          <w:szCs w:val="32"/>
        </w:rPr>
        <w:t xml:space="preserve">Pages 14-17 highlight the need for fuels treatments along power lines and transmission lines. </w:t>
      </w:r>
      <w:r w:rsidR="00FD46C1">
        <w:rPr>
          <w:rFonts w:ascii="Times New Roman" w:hAnsi="Times New Roman" w:cs="Times New Roman"/>
          <w:sz w:val="32"/>
          <w:szCs w:val="32"/>
        </w:rPr>
        <w:t>This addendum also recognizes the need for planning projects to support this work.</w:t>
      </w:r>
    </w:p>
    <w:p w14:paraId="7069495B" w14:textId="2B8A6939" w:rsidR="005774E1" w:rsidRDefault="005774E1" w:rsidP="00443809">
      <w:pPr>
        <w:rPr>
          <w:rFonts w:ascii="Times New Roman" w:hAnsi="Times New Roman" w:cs="Times New Roman"/>
          <w:sz w:val="32"/>
          <w:szCs w:val="32"/>
        </w:rPr>
      </w:pPr>
      <w:r>
        <w:rPr>
          <w:rFonts w:ascii="Times New Roman" w:hAnsi="Times New Roman" w:cs="Times New Roman"/>
          <w:sz w:val="32"/>
          <w:szCs w:val="32"/>
        </w:rPr>
        <w:t>Pages 17-</w:t>
      </w:r>
      <w:r w:rsidR="005011F0">
        <w:rPr>
          <w:rFonts w:ascii="Times New Roman" w:hAnsi="Times New Roman" w:cs="Times New Roman"/>
          <w:sz w:val="32"/>
          <w:szCs w:val="32"/>
        </w:rPr>
        <w:t>23 outlines action projects by several categories. This addendum adds Wildfire Land</w:t>
      </w:r>
      <w:r w:rsidR="00F21539">
        <w:rPr>
          <w:rFonts w:ascii="Times New Roman" w:hAnsi="Times New Roman" w:cs="Times New Roman"/>
          <w:sz w:val="32"/>
          <w:szCs w:val="32"/>
        </w:rPr>
        <w:t xml:space="preserve"> Resilience as a category with the following table:</w:t>
      </w:r>
    </w:p>
    <w:tbl>
      <w:tblPr>
        <w:tblStyle w:val="TableGrid"/>
        <w:tblW w:w="0" w:type="auto"/>
        <w:tblLook w:val="04A0" w:firstRow="1" w:lastRow="0" w:firstColumn="1" w:lastColumn="0" w:noHBand="0" w:noVBand="1"/>
      </w:tblPr>
      <w:tblGrid>
        <w:gridCol w:w="715"/>
        <w:gridCol w:w="1080"/>
        <w:gridCol w:w="7555"/>
      </w:tblGrid>
      <w:tr w:rsidR="00F21539" w14:paraId="15CC7D21" w14:textId="77777777" w:rsidTr="00791D63">
        <w:tc>
          <w:tcPr>
            <w:tcW w:w="9350" w:type="dxa"/>
            <w:gridSpan w:val="3"/>
            <w:shd w:val="clear" w:color="auto" w:fill="2E74B5" w:themeFill="accent5" w:themeFillShade="BF"/>
          </w:tcPr>
          <w:p w14:paraId="4F62A122" w14:textId="14721E9C" w:rsidR="00F21539" w:rsidRDefault="00F21539" w:rsidP="00F21539">
            <w:pPr>
              <w:jc w:val="center"/>
              <w:rPr>
                <w:rFonts w:ascii="Times New Roman" w:hAnsi="Times New Roman" w:cs="Times New Roman"/>
                <w:sz w:val="32"/>
                <w:szCs w:val="32"/>
              </w:rPr>
            </w:pPr>
            <w:r w:rsidRPr="00791D63">
              <w:rPr>
                <w:rFonts w:ascii="Times New Roman" w:hAnsi="Times New Roman" w:cs="Times New Roman"/>
                <w:color w:val="DEEAF6" w:themeColor="accent5" w:themeTint="33"/>
                <w:sz w:val="32"/>
                <w:szCs w:val="32"/>
              </w:rPr>
              <w:lastRenderedPageBreak/>
              <w:t>Wildfire Landscape Resilience</w:t>
            </w:r>
          </w:p>
        </w:tc>
      </w:tr>
      <w:tr w:rsidR="00D16414" w14:paraId="1474477D" w14:textId="77777777" w:rsidTr="00D16414">
        <w:tc>
          <w:tcPr>
            <w:tcW w:w="715" w:type="dxa"/>
            <w:vMerge w:val="restart"/>
          </w:tcPr>
          <w:p w14:paraId="60E9246B" w14:textId="075FADC1" w:rsidR="00D16414" w:rsidRDefault="00D16414" w:rsidP="00443809">
            <w:pPr>
              <w:rPr>
                <w:rFonts w:ascii="Times New Roman" w:hAnsi="Times New Roman" w:cs="Times New Roman"/>
                <w:sz w:val="32"/>
                <w:szCs w:val="32"/>
              </w:rPr>
            </w:pPr>
            <w:r>
              <w:rPr>
                <w:rFonts w:ascii="Times New Roman" w:hAnsi="Times New Roman" w:cs="Times New Roman"/>
                <w:sz w:val="32"/>
                <w:szCs w:val="32"/>
              </w:rPr>
              <w:t>32</w:t>
            </w:r>
          </w:p>
        </w:tc>
        <w:tc>
          <w:tcPr>
            <w:tcW w:w="8635" w:type="dxa"/>
            <w:gridSpan w:val="2"/>
            <w:shd w:val="clear" w:color="auto" w:fill="FFFFFF" w:themeFill="background1"/>
          </w:tcPr>
          <w:p w14:paraId="50DEF545" w14:textId="4E32092F" w:rsidR="00D16414" w:rsidRDefault="00D16414" w:rsidP="00443809">
            <w:pPr>
              <w:rPr>
                <w:rFonts w:ascii="Times New Roman" w:hAnsi="Times New Roman" w:cs="Times New Roman"/>
                <w:sz w:val="32"/>
                <w:szCs w:val="32"/>
              </w:rPr>
            </w:pPr>
            <w:r>
              <w:rPr>
                <w:rFonts w:ascii="Times New Roman" w:hAnsi="Times New Roman" w:cs="Times New Roman"/>
                <w:sz w:val="32"/>
                <w:szCs w:val="32"/>
              </w:rPr>
              <w:t>Utilizing existing plans, implement fuels reduction projects to reduce the impact of landscape wildfire on post-fire flooding and debris flows to protect downstream communities.</w:t>
            </w:r>
          </w:p>
        </w:tc>
      </w:tr>
      <w:tr w:rsidR="00791D63" w14:paraId="7937AF5F" w14:textId="77777777" w:rsidTr="00791D63">
        <w:tc>
          <w:tcPr>
            <w:tcW w:w="715" w:type="dxa"/>
            <w:vMerge/>
          </w:tcPr>
          <w:p w14:paraId="4BE73DB5" w14:textId="77777777" w:rsidR="00791D63" w:rsidRDefault="00791D63" w:rsidP="00443809">
            <w:pPr>
              <w:rPr>
                <w:rFonts w:ascii="Times New Roman" w:hAnsi="Times New Roman" w:cs="Times New Roman"/>
                <w:sz w:val="32"/>
                <w:szCs w:val="32"/>
              </w:rPr>
            </w:pPr>
          </w:p>
        </w:tc>
        <w:tc>
          <w:tcPr>
            <w:tcW w:w="1080" w:type="dxa"/>
            <w:shd w:val="clear" w:color="auto" w:fill="BFBFBF" w:themeFill="background1" w:themeFillShade="BF"/>
          </w:tcPr>
          <w:p w14:paraId="0137248C" w14:textId="6EBA0EB8" w:rsidR="00791D63" w:rsidRDefault="00791D63" w:rsidP="00443809">
            <w:pPr>
              <w:rPr>
                <w:rFonts w:ascii="Times New Roman" w:hAnsi="Times New Roman" w:cs="Times New Roman"/>
                <w:sz w:val="32"/>
                <w:szCs w:val="32"/>
              </w:rPr>
            </w:pPr>
            <w:r>
              <w:rPr>
                <w:rFonts w:ascii="Times New Roman" w:hAnsi="Times New Roman" w:cs="Times New Roman"/>
                <w:sz w:val="32"/>
                <w:szCs w:val="32"/>
              </w:rPr>
              <w:t>Detail</w:t>
            </w:r>
          </w:p>
        </w:tc>
        <w:tc>
          <w:tcPr>
            <w:tcW w:w="7555" w:type="dxa"/>
          </w:tcPr>
          <w:p w14:paraId="3B81AF87" w14:textId="3C4D33CF" w:rsidR="00791D63" w:rsidRDefault="00257BAC" w:rsidP="00443809">
            <w:pPr>
              <w:rPr>
                <w:rFonts w:ascii="Times New Roman" w:hAnsi="Times New Roman" w:cs="Times New Roman"/>
                <w:sz w:val="32"/>
                <w:szCs w:val="32"/>
              </w:rPr>
            </w:pPr>
            <w:r>
              <w:rPr>
                <w:rFonts w:ascii="Times New Roman" w:hAnsi="Times New Roman" w:cs="Times New Roman"/>
                <w:sz w:val="32"/>
                <w:szCs w:val="32"/>
              </w:rPr>
              <w:t>Mechanical thinning, prescribed fire, and managing wildfires can create forest stand structures that encourage lower intensity fires.</w:t>
            </w:r>
            <w:r w:rsidR="00D16414">
              <w:rPr>
                <w:rFonts w:ascii="Times New Roman" w:hAnsi="Times New Roman" w:cs="Times New Roman"/>
                <w:sz w:val="32"/>
                <w:szCs w:val="32"/>
              </w:rPr>
              <w:t xml:space="preserve"> These fuel reduction projects should be aligned with areas identified to reduce the risk of wildland fire impacts.</w:t>
            </w:r>
          </w:p>
        </w:tc>
      </w:tr>
      <w:tr w:rsidR="00987EEA" w14:paraId="1646C606" w14:textId="77777777" w:rsidTr="00612BE0">
        <w:tc>
          <w:tcPr>
            <w:tcW w:w="715" w:type="dxa"/>
          </w:tcPr>
          <w:p w14:paraId="684FD94D" w14:textId="2757E328" w:rsidR="00987EEA" w:rsidRDefault="00987EEA" w:rsidP="00443809">
            <w:pPr>
              <w:rPr>
                <w:rFonts w:ascii="Times New Roman" w:hAnsi="Times New Roman" w:cs="Times New Roman"/>
                <w:sz w:val="32"/>
                <w:szCs w:val="32"/>
              </w:rPr>
            </w:pPr>
            <w:r>
              <w:rPr>
                <w:rFonts w:ascii="Times New Roman" w:hAnsi="Times New Roman" w:cs="Times New Roman"/>
                <w:sz w:val="32"/>
                <w:szCs w:val="32"/>
              </w:rPr>
              <w:t>33</w:t>
            </w:r>
          </w:p>
        </w:tc>
        <w:tc>
          <w:tcPr>
            <w:tcW w:w="8635" w:type="dxa"/>
            <w:gridSpan w:val="2"/>
          </w:tcPr>
          <w:p w14:paraId="5899906F" w14:textId="69AD327A" w:rsidR="00987EEA" w:rsidRDefault="00987EEA" w:rsidP="00443809">
            <w:pPr>
              <w:rPr>
                <w:rFonts w:ascii="Times New Roman" w:hAnsi="Times New Roman" w:cs="Times New Roman"/>
                <w:sz w:val="32"/>
                <w:szCs w:val="32"/>
              </w:rPr>
            </w:pPr>
            <w:r>
              <w:rPr>
                <w:rFonts w:ascii="Times New Roman" w:hAnsi="Times New Roman" w:cs="Times New Roman"/>
                <w:sz w:val="32"/>
                <w:szCs w:val="32"/>
              </w:rPr>
              <w:t xml:space="preserve">Support activities that provide land stewardship information to landowners and land managers to improve the design and implementation of thinning and </w:t>
            </w:r>
            <w:proofErr w:type="spellStart"/>
            <w:r>
              <w:rPr>
                <w:rFonts w:ascii="Times New Roman" w:hAnsi="Times New Roman" w:cs="Times New Roman"/>
                <w:sz w:val="32"/>
                <w:szCs w:val="32"/>
              </w:rPr>
              <w:t>and</w:t>
            </w:r>
            <w:proofErr w:type="spellEnd"/>
            <w:r>
              <w:rPr>
                <w:rFonts w:ascii="Times New Roman" w:hAnsi="Times New Roman" w:cs="Times New Roman"/>
                <w:sz w:val="32"/>
                <w:szCs w:val="32"/>
              </w:rPr>
              <w:t xml:space="preserve"> use of fire on the landscape.</w:t>
            </w:r>
          </w:p>
        </w:tc>
      </w:tr>
      <w:tr w:rsidR="00F21539" w14:paraId="3700E6E1" w14:textId="77777777" w:rsidTr="00791D63">
        <w:tc>
          <w:tcPr>
            <w:tcW w:w="715" w:type="dxa"/>
          </w:tcPr>
          <w:p w14:paraId="34278389" w14:textId="77777777" w:rsidR="00F21539" w:rsidRDefault="00F21539" w:rsidP="00443809">
            <w:pPr>
              <w:rPr>
                <w:rFonts w:ascii="Times New Roman" w:hAnsi="Times New Roman" w:cs="Times New Roman"/>
                <w:sz w:val="32"/>
                <w:szCs w:val="32"/>
              </w:rPr>
            </w:pPr>
          </w:p>
        </w:tc>
        <w:tc>
          <w:tcPr>
            <w:tcW w:w="1080" w:type="dxa"/>
            <w:shd w:val="clear" w:color="auto" w:fill="BFBFBF" w:themeFill="background1" w:themeFillShade="BF"/>
          </w:tcPr>
          <w:p w14:paraId="6AEDF0D0" w14:textId="360C4FC6" w:rsidR="00F21539" w:rsidRDefault="00791D63" w:rsidP="00443809">
            <w:pPr>
              <w:rPr>
                <w:rFonts w:ascii="Times New Roman" w:hAnsi="Times New Roman" w:cs="Times New Roman"/>
                <w:sz w:val="32"/>
                <w:szCs w:val="32"/>
              </w:rPr>
            </w:pPr>
            <w:r>
              <w:rPr>
                <w:rFonts w:ascii="Times New Roman" w:hAnsi="Times New Roman" w:cs="Times New Roman"/>
                <w:sz w:val="32"/>
                <w:szCs w:val="32"/>
              </w:rPr>
              <w:t>Detail</w:t>
            </w:r>
          </w:p>
        </w:tc>
        <w:tc>
          <w:tcPr>
            <w:tcW w:w="7555" w:type="dxa"/>
          </w:tcPr>
          <w:p w14:paraId="453C57CB" w14:textId="61981563" w:rsidR="00F21539" w:rsidRDefault="00987EEA" w:rsidP="00443809">
            <w:pPr>
              <w:rPr>
                <w:rFonts w:ascii="Times New Roman" w:hAnsi="Times New Roman" w:cs="Times New Roman"/>
                <w:sz w:val="32"/>
                <w:szCs w:val="32"/>
              </w:rPr>
            </w:pPr>
            <w:r>
              <w:rPr>
                <w:rFonts w:ascii="Times New Roman" w:hAnsi="Times New Roman" w:cs="Times New Roman"/>
                <w:sz w:val="32"/>
                <w:szCs w:val="32"/>
              </w:rPr>
              <w:t>Workshops, publications, technical assistance, and other outreach activities are important for creating a community of committed land stewards within the county.</w:t>
            </w:r>
          </w:p>
        </w:tc>
      </w:tr>
      <w:tr w:rsidR="00F368E3" w14:paraId="2A5EDB0F" w14:textId="77777777" w:rsidTr="00175501">
        <w:tc>
          <w:tcPr>
            <w:tcW w:w="715" w:type="dxa"/>
          </w:tcPr>
          <w:p w14:paraId="06784169" w14:textId="0111415A" w:rsidR="00F368E3" w:rsidRDefault="00F368E3" w:rsidP="00443809">
            <w:pPr>
              <w:rPr>
                <w:rFonts w:ascii="Times New Roman" w:hAnsi="Times New Roman" w:cs="Times New Roman"/>
                <w:sz w:val="32"/>
                <w:szCs w:val="32"/>
              </w:rPr>
            </w:pPr>
            <w:r>
              <w:rPr>
                <w:rFonts w:ascii="Times New Roman" w:hAnsi="Times New Roman" w:cs="Times New Roman"/>
                <w:sz w:val="32"/>
                <w:szCs w:val="32"/>
              </w:rPr>
              <w:t>34</w:t>
            </w:r>
          </w:p>
        </w:tc>
        <w:tc>
          <w:tcPr>
            <w:tcW w:w="8635" w:type="dxa"/>
            <w:gridSpan w:val="2"/>
            <w:shd w:val="clear" w:color="auto" w:fill="FFFFFF" w:themeFill="background1"/>
          </w:tcPr>
          <w:p w14:paraId="07B448F0" w14:textId="4680074D" w:rsidR="00F368E3" w:rsidRDefault="00F368E3" w:rsidP="00443809">
            <w:pPr>
              <w:rPr>
                <w:rFonts w:ascii="Times New Roman" w:hAnsi="Times New Roman" w:cs="Times New Roman"/>
                <w:sz w:val="32"/>
                <w:szCs w:val="32"/>
              </w:rPr>
            </w:pPr>
            <w:r>
              <w:rPr>
                <w:rFonts w:ascii="Times New Roman" w:hAnsi="Times New Roman" w:cs="Times New Roman"/>
                <w:sz w:val="32"/>
                <w:szCs w:val="32"/>
              </w:rPr>
              <w:t>Support activities that help develop the work force and build the capacity locally for contractors to achieve the activities in the forest that will reduce fire risk.</w:t>
            </w:r>
          </w:p>
        </w:tc>
      </w:tr>
      <w:tr w:rsidR="00791D63" w14:paraId="7C9592BC" w14:textId="77777777" w:rsidTr="00791D63">
        <w:tc>
          <w:tcPr>
            <w:tcW w:w="715" w:type="dxa"/>
          </w:tcPr>
          <w:p w14:paraId="5F1EEAD0" w14:textId="77777777" w:rsidR="00791D63" w:rsidRDefault="00791D63" w:rsidP="00443809">
            <w:pPr>
              <w:rPr>
                <w:rFonts w:ascii="Times New Roman" w:hAnsi="Times New Roman" w:cs="Times New Roman"/>
                <w:sz w:val="32"/>
                <w:szCs w:val="32"/>
              </w:rPr>
            </w:pPr>
          </w:p>
        </w:tc>
        <w:tc>
          <w:tcPr>
            <w:tcW w:w="1080" w:type="dxa"/>
            <w:shd w:val="clear" w:color="auto" w:fill="BFBFBF" w:themeFill="background1" w:themeFillShade="BF"/>
          </w:tcPr>
          <w:p w14:paraId="402319E9" w14:textId="1C95BB70" w:rsidR="00791D63" w:rsidRDefault="00791D63" w:rsidP="00443809">
            <w:pPr>
              <w:rPr>
                <w:rFonts w:ascii="Times New Roman" w:hAnsi="Times New Roman" w:cs="Times New Roman"/>
                <w:sz w:val="32"/>
                <w:szCs w:val="32"/>
              </w:rPr>
            </w:pPr>
            <w:r>
              <w:rPr>
                <w:rFonts w:ascii="Times New Roman" w:hAnsi="Times New Roman" w:cs="Times New Roman"/>
                <w:sz w:val="32"/>
                <w:szCs w:val="32"/>
              </w:rPr>
              <w:t>Detail</w:t>
            </w:r>
          </w:p>
        </w:tc>
        <w:tc>
          <w:tcPr>
            <w:tcW w:w="7555" w:type="dxa"/>
          </w:tcPr>
          <w:p w14:paraId="1DA5CC26" w14:textId="5040F14F" w:rsidR="00791D63" w:rsidRDefault="00F368E3" w:rsidP="00443809">
            <w:pPr>
              <w:rPr>
                <w:rFonts w:ascii="Times New Roman" w:hAnsi="Times New Roman" w:cs="Times New Roman"/>
                <w:sz w:val="32"/>
                <w:szCs w:val="32"/>
              </w:rPr>
            </w:pPr>
            <w:r>
              <w:rPr>
                <w:rFonts w:ascii="Times New Roman" w:hAnsi="Times New Roman" w:cs="Times New Roman"/>
                <w:sz w:val="32"/>
                <w:szCs w:val="32"/>
              </w:rPr>
              <w:t>Develop training, outreach, recruitment, and support programs that help those interested in contracting forest management activities to successfully thrive in the business.</w:t>
            </w:r>
          </w:p>
        </w:tc>
      </w:tr>
    </w:tbl>
    <w:p w14:paraId="77F373D0" w14:textId="029AC632" w:rsidR="00F21539" w:rsidRPr="006A2A17" w:rsidRDefault="00F21539" w:rsidP="00443809">
      <w:pPr>
        <w:rPr>
          <w:rFonts w:ascii="Times New Roman" w:hAnsi="Times New Roman" w:cs="Times New Roman"/>
          <w:sz w:val="32"/>
          <w:szCs w:val="32"/>
        </w:rPr>
      </w:pPr>
    </w:p>
    <w:sectPr w:rsidR="00F21539" w:rsidRPr="006A2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17"/>
    <w:rsid w:val="00103673"/>
    <w:rsid w:val="00257BAC"/>
    <w:rsid w:val="00443809"/>
    <w:rsid w:val="005011F0"/>
    <w:rsid w:val="005774E1"/>
    <w:rsid w:val="00586353"/>
    <w:rsid w:val="00613B85"/>
    <w:rsid w:val="006A2A17"/>
    <w:rsid w:val="00791D63"/>
    <w:rsid w:val="009138F6"/>
    <w:rsid w:val="00987EEA"/>
    <w:rsid w:val="009B2079"/>
    <w:rsid w:val="00C5553F"/>
    <w:rsid w:val="00CD14E2"/>
    <w:rsid w:val="00D16414"/>
    <w:rsid w:val="00D176B7"/>
    <w:rsid w:val="00F21539"/>
    <w:rsid w:val="00F368E3"/>
    <w:rsid w:val="00FD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D286"/>
  <w15:chartTrackingRefBased/>
  <w15:docId w15:val="{6011CAA6-1D62-446F-8918-80D8EA08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Stuever, Mary, EMNRD</dc:creator>
  <cp:keywords/>
  <dc:description/>
  <cp:lastModifiedBy>Caleb Stotts</cp:lastModifiedBy>
  <cp:revision>2</cp:revision>
  <dcterms:created xsi:type="dcterms:W3CDTF">2022-09-28T16:28:00Z</dcterms:created>
  <dcterms:modified xsi:type="dcterms:W3CDTF">2022-09-28T16:28:00Z</dcterms:modified>
</cp:coreProperties>
</file>